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41698" w14:textId="66C247A6" w:rsidR="007B6D65" w:rsidRPr="0015523B" w:rsidRDefault="00A31B59" w:rsidP="007B6D65">
      <w:pPr>
        <w:pStyle w:val="H1"/>
        <w:spacing w:after="0"/>
        <w:ind w:left="0"/>
        <w:jc w:val="right"/>
        <w:rPr>
          <w:sz w:val="8"/>
          <w:szCs w:val="8"/>
        </w:rPr>
      </w:pPr>
      <w:r w:rsidRPr="0015523B">
        <w:rPr>
          <w:noProof/>
          <w:sz w:val="8"/>
          <w:szCs w:val="8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5D637C" wp14:editId="46438FB5">
                <wp:simplePos x="0" y="0"/>
                <wp:positionH relativeFrom="margin">
                  <wp:posOffset>3810</wp:posOffset>
                </wp:positionH>
                <wp:positionV relativeFrom="paragraph">
                  <wp:posOffset>38735</wp:posOffset>
                </wp:positionV>
                <wp:extent cx="5972175" cy="2009775"/>
                <wp:effectExtent l="38100" t="38100" r="47625" b="4762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2009775"/>
                        </a:xfrm>
                        <a:prstGeom prst="roundRect">
                          <a:avLst>
                            <a:gd name="adj" fmla="val 8772"/>
                          </a:avLst>
                        </a:prstGeom>
                        <a:noFill/>
                        <a:ln w="76200">
                          <a:solidFill>
                            <a:srgbClr val="00266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1836C" w14:textId="77777777" w:rsidR="00187161" w:rsidRDefault="00C3315C" w:rsidP="008F40B3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C3315C">
                              <w:rPr>
                                <w:rFonts w:ascii="Arial" w:hAnsi="Arial" w:cs="Arial"/>
                                <w:bCs/>
                              </w:rPr>
                              <w:t>Building referrals and connections into the leaving care plan and aftercare</w:t>
                            </w:r>
                            <w:r w:rsidR="000A563A">
                              <w:rPr>
                                <w:rFonts w:ascii="Arial" w:hAnsi="Arial" w:cs="Arial"/>
                                <w:bCs/>
                              </w:rPr>
                              <w:t xml:space="preserve"> support</w:t>
                            </w:r>
                            <w:r w:rsidRPr="00C3315C">
                              <w:rPr>
                                <w:rFonts w:ascii="Arial" w:hAnsi="Arial" w:cs="Arial"/>
                                <w:bCs/>
                              </w:rPr>
                              <w:t xml:space="preserve"> can strengthen the </w:t>
                            </w:r>
                            <w:r w:rsidR="00187161">
                              <w:rPr>
                                <w:rFonts w:ascii="Arial" w:hAnsi="Arial" w:cs="Arial"/>
                                <w:bCs/>
                              </w:rPr>
                              <w:t>quality of the plan and help ‘make real’ the actions of support</w:t>
                            </w:r>
                            <w:r w:rsidRPr="00C3315C">
                              <w:rPr>
                                <w:rFonts w:ascii="Arial" w:hAnsi="Arial" w:cs="Arial"/>
                                <w:bCs/>
                              </w:rPr>
                              <w:t xml:space="preserve"> for the young person and tailor </w:t>
                            </w:r>
                            <w:r w:rsidR="00187161">
                              <w:rPr>
                                <w:rFonts w:ascii="Arial" w:hAnsi="Arial" w:cs="Arial"/>
                                <w:bCs/>
                              </w:rPr>
                              <w:t>help and support</w:t>
                            </w:r>
                            <w:r w:rsidRPr="00C3315C">
                              <w:rPr>
                                <w:rFonts w:ascii="Arial" w:hAnsi="Arial" w:cs="Arial"/>
                                <w:bCs/>
                              </w:rPr>
                              <w:t xml:space="preserve"> to their needs, capacity, </w:t>
                            </w:r>
                            <w:proofErr w:type="gramStart"/>
                            <w:r w:rsidRPr="00C3315C">
                              <w:rPr>
                                <w:rFonts w:ascii="Arial" w:hAnsi="Arial" w:cs="Arial"/>
                                <w:bCs/>
                              </w:rPr>
                              <w:t>skills</w:t>
                            </w:r>
                            <w:proofErr w:type="gramEnd"/>
                            <w:r w:rsidRPr="00C3315C">
                              <w:rPr>
                                <w:rFonts w:ascii="Arial" w:hAnsi="Arial" w:cs="Arial"/>
                                <w:bCs/>
                              </w:rPr>
                              <w:t xml:space="preserve"> and goals.</w:t>
                            </w:r>
                            <w:r w:rsidR="00A15FB5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 w:rsidR="00187161">
                              <w:rPr>
                                <w:rFonts w:ascii="Arial" w:hAnsi="Arial" w:cs="Arial"/>
                                <w:bCs/>
                              </w:rPr>
                              <w:t>Plan and c</w:t>
                            </w:r>
                            <w:r w:rsidR="00A15FB5">
                              <w:rPr>
                                <w:rFonts w:ascii="Arial" w:hAnsi="Arial" w:cs="Arial"/>
                                <w:bCs/>
                              </w:rPr>
                              <w:t>onnect young people</w:t>
                            </w:r>
                            <w:r w:rsidR="00187161">
                              <w:rPr>
                                <w:rFonts w:ascii="Arial" w:hAnsi="Arial" w:cs="Arial"/>
                                <w:bCs/>
                              </w:rPr>
                              <w:t xml:space="preserve"> early to address gaps or promote strengths. </w:t>
                            </w:r>
                          </w:p>
                          <w:p w14:paraId="11DA784E" w14:textId="77777777" w:rsidR="00187161" w:rsidRDefault="00187161" w:rsidP="008F40B3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32A5B738" w14:textId="57785408" w:rsidR="008F40B3" w:rsidRDefault="008F40B3" w:rsidP="008F40B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76A4A">
                              <w:rPr>
                                <w:rFonts w:ascii="Arial" w:hAnsi="Arial" w:cs="Arial"/>
                              </w:rPr>
                              <w:t xml:space="preserve">Assessing what the young person needs or hopes to achieve is the first step, </w:t>
                            </w:r>
                            <w:r w:rsidR="00187161">
                              <w:rPr>
                                <w:rFonts w:ascii="Arial" w:hAnsi="Arial" w:cs="Arial"/>
                              </w:rPr>
                              <w:t xml:space="preserve">however, </w:t>
                            </w:r>
                            <w:r w:rsidRPr="00776A4A">
                              <w:rPr>
                                <w:rFonts w:ascii="Arial" w:hAnsi="Arial" w:cs="Arial"/>
                              </w:rPr>
                              <w:t xml:space="preserve">ensuring </w:t>
                            </w:r>
                            <w:r w:rsidR="00187161">
                              <w:rPr>
                                <w:rFonts w:ascii="Arial" w:hAnsi="Arial" w:cs="Arial"/>
                              </w:rPr>
                              <w:t>ways to</w:t>
                            </w:r>
                            <w:r w:rsidRPr="00776A4A">
                              <w:rPr>
                                <w:rFonts w:ascii="Arial" w:hAnsi="Arial" w:cs="Arial"/>
                              </w:rPr>
                              <w:t xml:space="preserve"> ‘make the plan real’ may include warm referrals and connections to other services and programs.</w:t>
                            </w:r>
                            <w:r w:rsidR="00187161">
                              <w:rPr>
                                <w:rFonts w:ascii="Arial" w:hAnsi="Arial" w:cs="Arial"/>
                              </w:rPr>
                              <w:t xml:space="preserve"> Your own n</w:t>
                            </w:r>
                            <w:r w:rsidR="00C57129">
                              <w:rPr>
                                <w:rFonts w:ascii="Arial" w:hAnsi="Arial" w:cs="Arial"/>
                              </w:rPr>
                              <w:t>etworking</w:t>
                            </w:r>
                            <w:r w:rsidRPr="00776A4A">
                              <w:rPr>
                                <w:rFonts w:ascii="Arial" w:hAnsi="Arial" w:cs="Arial"/>
                              </w:rPr>
                              <w:t xml:space="preserve"> with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government or community </w:t>
                            </w:r>
                            <w:r w:rsidRPr="00776A4A">
                              <w:rPr>
                                <w:rFonts w:ascii="Arial" w:hAnsi="Arial" w:cs="Arial"/>
                              </w:rPr>
                              <w:t>organisation</w:t>
                            </w:r>
                            <w:r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Pr="00776A4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15523B">
                              <w:rPr>
                                <w:rFonts w:ascii="Arial" w:hAnsi="Arial" w:cs="Arial"/>
                              </w:rPr>
                              <w:t xml:space="preserve">will boost </w:t>
                            </w:r>
                            <w:r>
                              <w:rPr>
                                <w:rFonts w:ascii="Arial" w:hAnsi="Arial" w:cs="Arial"/>
                              </w:rPr>
                              <w:t>opportunities</w:t>
                            </w:r>
                            <w:r w:rsidR="00C57129">
                              <w:rPr>
                                <w:rFonts w:ascii="Arial" w:hAnsi="Arial" w:cs="Arial"/>
                              </w:rPr>
                              <w:t xml:space="preserve"> for referrals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in </w:t>
                            </w:r>
                            <w:r w:rsidR="00187161">
                              <w:rPr>
                                <w:rFonts w:ascii="Arial" w:hAnsi="Arial" w:cs="Arial"/>
                              </w:rPr>
                              <w:t>the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local area</w:t>
                            </w:r>
                            <w:r w:rsidR="00187161">
                              <w:rPr>
                                <w:rFonts w:ascii="Arial" w:hAnsi="Arial" w:cs="Arial"/>
                              </w:rPr>
                              <w:t xml:space="preserve"> and help you discover </w:t>
                            </w:r>
                            <w:r w:rsidR="0015523B">
                              <w:rPr>
                                <w:rFonts w:ascii="Arial" w:hAnsi="Arial" w:cs="Arial"/>
                              </w:rPr>
                              <w:t>existing and new initiatives that might assist</w:t>
                            </w:r>
                            <w:r w:rsidR="000A563A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15523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123C0DA3" w14:textId="77777777" w:rsidR="008F40B3" w:rsidRPr="00C3315C" w:rsidRDefault="008F40B3" w:rsidP="00C3315C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0291C614" w14:textId="1B261E29" w:rsidR="00292ADB" w:rsidRPr="00FB6772" w:rsidRDefault="00292ADB" w:rsidP="00025BBA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5D637C" id="Text Box 2" o:spid="_x0000_s1026" style="position:absolute;left:0;text-align:left;margin-left:.3pt;margin-top:3.05pt;width:470.25pt;height:15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arcsize="57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FGPPwIAAFAEAAAOAAAAZHJzL2Uyb0RvYy54bWysVNuO2yAQfa/Uf0C8N06sJE6sOKtttltV&#10;2l7U3X4AARzTAuMCiZ39+g7Ym0btW1U/IIYZDjPnzHhz0xtNTtJ5Bbais8mUEmk5CGUPFf32dP9m&#10;RYkPzAqmwcqKnqWnN9vXrzZdW8ocGtBCOoIg1pddW9EmhLbMMs8baZifQCstOmtwhgU03SETjnWI&#10;bnSWT6fLrAMnWgdceo+nd4OTbhN+XUsePte1l4HoimJuIa0urfu4ZtsNKw+OtY3iYxrsH7IwTFl8&#10;9AJ1xwIjR6f+gjKKO/BQhwkHk0FdKy5TDVjNbPpHNY8Na2WqBcnx7YUm//9g+afTF0eUQO1ySiwz&#10;qNGT7AN5Cz3JIz1d60uMemwxLvR4jKGpVN8+AP/hiYVdw+xB3joHXSOZwPRm8WZ2dXXA8RFk330E&#10;gc+wY4AE1NfORO6QDYLoKNP5Ik1MhePhYl3ks2JBCUcfCr8u0IhvsPLleut8eC/BkLipqIOjFV+x&#10;AdIb7PTgQxJIjFUy8Z2S2miU+8Q0WRVFKhcBx1jcvUDGixbuldapX7QlXUWLJeYxMAFaieiNcd4d&#10;9jvtCIJiFdN8uZyPifrrMKMCNr5WpqKrafxiECsjf++sSPvAlB72mIq2I6GRw4HN0O97DIws70Gc&#10;kVoHQ4PjQOKmAfdMSYfNXVH/88icpER/sCjPejafx2lIxnxR5Gi4a8/+2sMsR6iK8uAoGYxdSDM0&#10;8HKLQtYqYCpJ8SGX0cC2TSKNIxbn4tpOUb9/BNtfAAAA//8DAFBLAwQUAAYACAAAACEA5kr5ut4A&#10;AAAGAQAADwAAAGRycy9kb3ducmV2LnhtbEyOQUvDQBCF74L/YRnBi9hNYg01ZlNELYiCYFs8b7Nj&#10;EpudDbvbNvn3jie9PObxHm++cjnaXhzRh86RgnSWgECqnemoUbDdrK4XIELUZHTvCBVMGGBZnZ+V&#10;ujDuRB94XMdG8AiFQitoYxwKKUPdotVh5gYkzr6ctzqy9Y00Xp943PYyS5JcWt0Rf2j1gI8t1vv1&#10;wSqot7cv+08zrZ6+X/18Gp/9+3T1ptTlxfhwDyLiGP/K8IvP6FAx084dyATRK8i5x5qC4PBunvKx&#10;U3CTZTnIqpT/8asfAAAA//8DAFBLAQItABQABgAIAAAAIQC2gziS/gAAAOEBAAATAAAAAAAAAAAA&#10;AAAAAAAAAABbQ29udGVudF9UeXBlc10ueG1sUEsBAi0AFAAGAAgAAAAhADj9If/WAAAAlAEAAAsA&#10;AAAAAAAAAAAAAAAALwEAAF9yZWxzLy5yZWxzUEsBAi0AFAAGAAgAAAAhANKYUY8/AgAAUAQAAA4A&#10;AAAAAAAAAAAAAAAALgIAAGRycy9lMm9Eb2MueG1sUEsBAi0AFAAGAAgAAAAhAOZK+breAAAABgEA&#10;AA8AAAAAAAAAAAAAAAAAmQQAAGRycy9kb3ducmV2LnhtbFBLBQYAAAAABAAEAPMAAACkBQAAAAA=&#10;" filled="f" strokecolor="#002664" strokeweight="6pt">
                <v:stroke joinstyle="miter"/>
                <v:textbox>
                  <w:txbxContent>
                    <w:p w14:paraId="2A21836C" w14:textId="77777777" w:rsidR="00187161" w:rsidRDefault="00C3315C" w:rsidP="008F40B3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C3315C">
                        <w:rPr>
                          <w:rFonts w:ascii="Arial" w:hAnsi="Arial" w:cs="Arial"/>
                          <w:bCs/>
                        </w:rPr>
                        <w:t>Building referrals and connections into the leaving care plan and aftercare</w:t>
                      </w:r>
                      <w:r w:rsidR="000A563A">
                        <w:rPr>
                          <w:rFonts w:ascii="Arial" w:hAnsi="Arial" w:cs="Arial"/>
                          <w:bCs/>
                        </w:rPr>
                        <w:t xml:space="preserve"> support</w:t>
                      </w:r>
                      <w:r w:rsidRPr="00C3315C">
                        <w:rPr>
                          <w:rFonts w:ascii="Arial" w:hAnsi="Arial" w:cs="Arial"/>
                          <w:bCs/>
                        </w:rPr>
                        <w:t xml:space="preserve"> can strengthen the </w:t>
                      </w:r>
                      <w:r w:rsidR="00187161">
                        <w:rPr>
                          <w:rFonts w:ascii="Arial" w:hAnsi="Arial" w:cs="Arial"/>
                          <w:bCs/>
                        </w:rPr>
                        <w:t>quality of the plan and help ‘make real’ the actions of support</w:t>
                      </w:r>
                      <w:r w:rsidRPr="00C3315C">
                        <w:rPr>
                          <w:rFonts w:ascii="Arial" w:hAnsi="Arial" w:cs="Arial"/>
                          <w:bCs/>
                        </w:rPr>
                        <w:t xml:space="preserve"> for the young person and tailor </w:t>
                      </w:r>
                      <w:r w:rsidR="00187161">
                        <w:rPr>
                          <w:rFonts w:ascii="Arial" w:hAnsi="Arial" w:cs="Arial"/>
                          <w:bCs/>
                        </w:rPr>
                        <w:t>help and support</w:t>
                      </w:r>
                      <w:r w:rsidRPr="00C3315C">
                        <w:rPr>
                          <w:rFonts w:ascii="Arial" w:hAnsi="Arial" w:cs="Arial"/>
                          <w:bCs/>
                        </w:rPr>
                        <w:t xml:space="preserve"> to their needs, capacity, skills and goals.</w:t>
                      </w:r>
                      <w:r w:rsidR="00A15FB5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 w:rsidR="00187161">
                        <w:rPr>
                          <w:rFonts w:ascii="Arial" w:hAnsi="Arial" w:cs="Arial"/>
                          <w:bCs/>
                        </w:rPr>
                        <w:t>Plan and c</w:t>
                      </w:r>
                      <w:r w:rsidR="00A15FB5">
                        <w:rPr>
                          <w:rFonts w:ascii="Arial" w:hAnsi="Arial" w:cs="Arial"/>
                          <w:bCs/>
                        </w:rPr>
                        <w:t>onnect young people</w:t>
                      </w:r>
                      <w:r w:rsidR="00187161">
                        <w:rPr>
                          <w:rFonts w:ascii="Arial" w:hAnsi="Arial" w:cs="Arial"/>
                          <w:bCs/>
                        </w:rPr>
                        <w:t xml:space="preserve"> early to address gaps or promote strengths. </w:t>
                      </w:r>
                    </w:p>
                    <w:p w14:paraId="11DA784E" w14:textId="77777777" w:rsidR="00187161" w:rsidRDefault="00187161" w:rsidP="008F40B3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32A5B738" w14:textId="57785408" w:rsidR="008F40B3" w:rsidRDefault="008F40B3" w:rsidP="008F40B3">
                      <w:pPr>
                        <w:rPr>
                          <w:rFonts w:ascii="Arial" w:hAnsi="Arial" w:cs="Arial"/>
                        </w:rPr>
                      </w:pPr>
                      <w:r w:rsidRPr="00776A4A">
                        <w:rPr>
                          <w:rFonts w:ascii="Arial" w:hAnsi="Arial" w:cs="Arial"/>
                        </w:rPr>
                        <w:t xml:space="preserve">Assessing what the young person needs or hopes to achieve is the first step, </w:t>
                      </w:r>
                      <w:r w:rsidR="00187161">
                        <w:rPr>
                          <w:rFonts w:ascii="Arial" w:hAnsi="Arial" w:cs="Arial"/>
                        </w:rPr>
                        <w:t xml:space="preserve">however, </w:t>
                      </w:r>
                      <w:r w:rsidRPr="00776A4A">
                        <w:rPr>
                          <w:rFonts w:ascii="Arial" w:hAnsi="Arial" w:cs="Arial"/>
                        </w:rPr>
                        <w:t xml:space="preserve">ensuring </w:t>
                      </w:r>
                      <w:r w:rsidR="00187161">
                        <w:rPr>
                          <w:rFonts w:ascii="Arial" w:hAnsi="Arial" w:cs="Arial"/>
                        </w:rPr>
                        <w:t>ways to</w:t>
                      </w:r>
                      <w:r w:rsidRPr="00776A4A">
                        <w:rPr>
                          <w:rFonts w:ascii="Arial" w:hAnsi="Arial" w:cs="Arial"/>
                        </w:rPr>
                        <w:t xml:space="preserve"> ‘make the plan real’ may include warm referrals and connections to other services and programs.</w:t>
                      </w:r>
                      <w:r w:rsidR="00187161">
                        <w:rPr>
                          <w:rFonts w:ascii="Arial" w:hAnsi="Arial" w:cs="Arial"/>
                        </w:rPr>
                        <w:t xml:space="preserve"> Your own n</w:t>
                      </w:r>
                      <w:r w:rsidR="00C57129">
                        <w:rPr>
                          <w:rFonts w:ascii="Arial" w:hAnsi="Arial" w:cs="Arial"/>
                        </w:rPr>
                        <w:t>etworking</w:t>
                      </w:r>
                      <w:r w:rsidRPr="00776A4A">
                        <w:rPr>
                          <w:rFonts w:ascii="Arial" w:hAnsi="Arial" w:cs="Arial"/>
                        </w:rPr>
                        <w:t xml:space="preserve"> with </w:t>
                      </w:r>
                      <w:r>
                        <w:rPr>
                          <w:rFonts w:ascii="Arial" w:hAnsi="Arial" w:cs="Arial"/>
                        </w:rPr>
                        <w:t xml:space="preserve">government or community </w:t>
                      </w:r>
                      <w:r w:rsidRPr="00776A4A">
                        <w:rPr>
                          <w:rFonts w:ascii="Arial" w:hAnsi="Arial" w:cs="Arial"/>
                        </w:rPr>
                        <w:t>organisation</w:t>
                      </w:r>
                      <w:r>
                        <w:rPr>
                          <w:rFonts w:ascii="Arial" w:hAnsi="Arial" w:cs="Arial"/>
                        </w:rPr>
                        <w:t>s</w:t>
                      </w:r>
                      <w:r w:rsidRPr="00776A4A">
                        <w:rPr>
                          <w:rFonts w:ascii="Arial" w:hAnsi="Arial" w:cs="Arial"/>
                        </w:rPr>
                        <w:t xml:space="preserve"> </w:t>
                      </w:r>
                      <w:r w:rsidR="0015523B">
                        <w:rPr>
                          <w:rFonts w:ascii="Arial" w:hAnsi="Arial" w:cs="Arial"/>
                        </w:rPr>
                        <w:t xml:space="preserve">will boost </w:t>
                      </w:r>
                      <w:r>
                        <w:rPr>
                          <w:rFonts w:ascii="Arial" w:hAnsi="Arial" w:cs="Arial"/>
                        </w:rPr>
                        <w:t>opportunities</w:t>
                      </w:r>
                      <w:r w:rsidR="00C57129">
                        <w:rPr>
                          <w:rFonts w:ascii="Arial" w:hAnsi="Arial" w:cs="Arial"/>
                        </w:rPr>
                        <w:t xml:space="preserve"> for referrals </w:t>
                      </w:r>
                      <w:r>
                        <w:rPr>
                          <w:rFonts w:ascii="Arial" w:hAnsi="Arial" w:cs="Arial"/>
                        </w:rPr>
                        <w:t xml:space="preserve">in </w:t>
                      </w:r>
                      <w:r w:rsidR="00187161">
                        <w:rPr>
                          <w:rFonts w:ascii="Arial" w:hAnsi="Arial" w:cs="Arial"/>
                        </w:rPr>
                        <w:t>the</w:t>
                      </w:r>
                      <w:r>
                        <w:rPr>
                          <w:rFonts w:ascii="Arial" w:hAnsi="Arial" w:cs="Arial"/>
                        </w:rPr>
                        <w:t xml:space="preserve"> local area</w:t>
                      </w:r>
                      <w:r w:rsidR="00187161">
                        <w:rPr>
                          <w:rFonts w:ascii="Arial" w:hAnsi="Arial" w:cs="Arial"/>
                        </w:rPr>
                        <w:t xml:space="preserve"> and help you discover </w:t>
                      </w:r>
                      <w:r w:rsidR="0015523B">
                        <w:rPr>
                          <w:rFonts w:ascii="Arial" w:hAnsi="Arial" w:cs="Arial"/>
                        </w:rPr>
                        <w:t>existing and new initiatives that might assist</w:t>
                      </w:r>
                      <w:r w:rsidR="000A563A">
                        <w:rPr>
                          <w:rFonts w:ascii="Arial" w:hAnsi="Arial" w:cs="Arial"/>
                        </w:rPr>
                        <w:t>.</w:t>
                      </w:r>
                      <w:r w:rsidR="0015523B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123C0DA3" w14:textId="77777777" w:rsidR="008F40B3" w:rsidRPr="00C3315C" w:rsidRDefault="008F40B3" w:rsidP="00C3315C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0291C614" w14:textId="1B261E29" w:rsidR="00292ADB" w:rsidRPr="00FB6772" w:rsidRDefault="00292ADB" w:rsidP="00025BBA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77243A74" w14:textId="6CA914AF" w:rsidR="00C3315C" w:rsidRDefault="00C3315C" w:rsidP="00C3315C">
      <w:pPr>
        <w:spacing w:before="120" w:after="120"/>
        <w:rPr>
          <w:rFonts w:ascii="Arial" w:hAnsi="Arial" w:cs="Arial"/>
          <w:bCs/>
          <w:sz w:val="28"/>
          <w:szCs w:val="28"/>
        </w:rPr>
      </w:pPr>
      <w:r w:rsidRPr="00C3315C">
        <w:rPr>
          <w:rFonts w:ascii="Arial" w:hAnsi="Arial" w:cs="Arial"/>
          <w:bCs/>
          <w:sz w:val="28"/>
          <w:szCs w:val="28"/>
        </w:rPr>
        <w:t>What kind of referrals should I include?</w:t>
      </w:r>
    </w:p>
    <w:p w14:paraId="6D0D8000" w14:textId="77777777" w:rsidR="00757ED2" w:rsidRPr="00776A4A" w:rsidRDefault="00757ED2" w:rsidP="00757ED2">
      <w:pPr>
        <w:rPr>
          <w:rFonts w:ascii="Arial" w:hAnsi="Arial" w:cs="Arial"/>
        </w:rPr>
      </w:pPr>
      <w:r w:rsidRPr="00776A4A">
        <w:rPr>
          <w:rFonts w:ascii="Arial" w:hAnsi="Arial" w:cs="Arial"/>
        </w:rPr>
        <w:t>Each</w:t>
      </w:r>
      <w:r>
        <w:rPr>
          <w:rFonts w:ascii="Arial" w:hAnsi="Arial" w:cs="Arial"/>
        </w:rPr>
        <w:t xml:space="preserve"> leaving care</w:t>
      </w:r>
      <w:r w:rsidRPr="00776A4A">
        <w:rPr>
          <w:rFonts w:ascii="Arial" w:hAnsi="Arial" w:cs="Arial"/>
        </w:rPr>
        <w:t xml:space="preserve"> plan will look different</w:t>
      </w:r>
      <w:r>
        <w:rPr>
          <w:rFonts w:ascii="Arial" w:hAnsi="Arial" w:cs="Arial"/>
        </w:rPr>
        <w:t xml:space="preserve"> and therefore the types of referrals or connections you include will be different, depending on the young person’s needs and goals</w:t>
      </w:r>
      <w:r w:rsidRPr="00776A4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Some examples might include: </w:t>
      </w:r>
    </w:p>
    <w:p w14:paraId="44EE9786" w14:textId="21830CA7" w:rsidR="00C3315C" w:rsidRPr="00776A4A" w:rsidRDefault="00C3315C" w:rsidP="00C3315C">
      <w:pPr>
        <w:rPr>
          <w:rFonts w:ascii="Arial" w:hAnsi="Arial" w:cs="Arial"/>
        </w:rPr>
      </w:pPr>
    </w:p>
    <w:p w14:paraId="5FD700F8" w14:textId="261741E4" w:rsidR="00A15FB5" w:rsidRDefault="00A15FB5" w:rsidP="00A15FB5">
      <w:pPr>
        <w:rPr>
          <w:rFonts w:ascii="Arial" w:hAnsi="Arial" w:cs="Arial"/>
        </w:rPr>
      </w:pPr>
      <w:r w:rsidRPr="00AB2989">
        <w:rPr>
          <w:rFonts w:ascii="Arial" w:hAnsi="Arial" w:cs="Arial"/>
          <w:b/>
          <w:bCs/>
          <w:sz w:val="24"/>
          <w:szCs w:val="24"/>
        </w:rPr>
        <w:t>Housing:</w:t>
      </w:r>
      <w:r>
        <w:rPr>
          <w:rFonts w:ascii="Arial" w:hAnsi="Arial" w:cs="Arial"/>
          <w:b/>
          <w:bCs/>
        </w:rPr>
        <w:t xml:space="preserve"> </w:t>
      </w:r>
      <w:r w:rsidRPr="00A15FB5">
        <w:rPr>
          <w:rFonts w:ascii="Arial" w:hAnsi="Arial" w:cs="Arial"/>
        </w:rPr>
        <w:t>Plan early for housing</w:t>
      </w:r>
      <w:r>
        <w:rPr>
          <w:rFonts w:ascii="Arial" w:hAnsi="Arial" w:cs="Arial"/>
        </w:rPr>
        <w:t xml:space="preserve"> if the young person is unlikely to continue staying with their carer. Finding housing options may require you to </w:t>
      </w:r>
      <w:r w:rsidRPr="00776A4A">
        <w:rPr>
          <w:rFonts w:ascii="Arial" w:hAnsi="Arial" w:cs="Arial"/>
        </w:rPr>
        <w:t>advoca</w:t>
      </w:r>
      <w:r>
        <w:rPr>
          <w:rFonts w:ascii="Arial" w:hAnsi="Arial" w:cs="Arial"/>
        </w:rPr>
        <w:t>te</w:t>
      </w:r>
      <w:r w:rsidRPr="00776A4A">
        <w:rPr>
          <w:rFonts w:ascii="Arial" w:hAnsi="Arial" w:cs="Arial"/>
        </w:rPr>
        <w:t xml:space="preserve"> and refer to programs like Rent Choice Youth, Foyer Central or taking the young person to visit private rental</w:t>
      </w:r>
      <w:r w:rsidR="00C57129">
        <w:rPr>
          <w:rFonts w:ascii="Arial" w:hAnsi="Arial" w:cs="Arial"/>
        </w:rPr>
        <w:t xml:space="preserve"> options</w:t>
      </w:r>
      <w:r w:rsidRPr="00776A4A">
        <w:rPr>
          <w:rFonts w:ascii="Arial" w:hAnsi="Arial" w:cs="Arial"/>
        </w:rPr>
        <w:t xml:space="preserve">. </w:t>
      </w:r>
      <w:r w:rsidR="00C57129">
        <w:rPr>
          <w:rFonts w:ascii="Arial" w:hAnsi="Arial" w:cs="Arial"/>
        </w:rPr>
        <w:t>Build</w:t>
      </w:r>
      <w:r>
        <w:rPr>
          <w:rFonts w:ascii="Arial" w:hAnsi="Arial" w:cs="Arial"/>
        </w:rPr>
        <w:t xml:space="preserve"> networks with local </w:t>
      </w:r>
      <w:r w:rsidR="00C57129">
        <w:rPr>
          <w:rFonts w:ascii="Arial" w:hAnsi="Arial" w:cs="Arial"/>
        </w:rPr>
        <w:t>h</w:t>
      </w:r>
      <w:r>
        <w:rPr>
          <w:rFonts w:ascii="Arial" w:hAnsi="Arial" w:cs="Arial"/>
        </w:rPr>
        <w:t>ousing teams</w:t>
      </w:r>
      <w:r w:rsidR="00C57129">
        <w:rPr>
          <w:rFonts w:ascii="Arial" w:hAnsi="Arial" w:cs="Arial"/>
        </w:rPr>
        <w:t xml:space="preserve"> or providers</w:t>
      </w:r>
      <w:r>
        <w:rPr>
          <w:rFonts w:ascii="Arial" w:hAnsi="Arial" w:cs="Arial"/>
        </w:rPr>
        <w:t xml:space="preserve"> and real estate agents </w:t>
      </w:r>
      <w:r w:rsidR="00C57129">
        <w:rPr>
          <w:rFonts w:ascii="Arial" w:hAnsi="Arial" w:cs="Arial"/>
        </w:rPr>
        <w:t>may</w:t>
      </w:r>
      <w:r>
        <w:rPr>
          <w:rFonts w:ascii="Arial" w:hAnsi="Arial" w:cs="Arial"/>
        </w:rPr>
        <w:t xml:space="preserve"> help </w:t>
      </w:r>
      <w:r w:rsidR="00C57129">
        <w:rPr>
          <w:rFonts w:ascii="Arial" w:hAnsi="Arial" w:cs="Arial"/>
        </w:rPr>
        <w:t>you refer and</w:t>
      </w:r>
      <w:r>
        <w:rPr>
          <w:rFonts w:ascii="Arial" w:hAnsi="Arial" w:cs="Arial"/>
        </w:rPr>
        <w:t xml:space="preserve"> find suitable rental options and programs </w:t>
      </w:r>
      <w:r w:rsidR="00C57129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 xml:space="preserve">a young person </w:t>
      </w:r>
      <w:proofErr w:type="gramStart"/>
      <w:r w:rsidR="007269E0">
        <w:rPr>
          <w:rFonts w:ascii="Arial" w:hAnsi="Arial" w:cs="Arial"/>
        </w:rPr>
        <w:t>e.g.</w:t>
      </w:r>
      <w:proofErr w:type="gramEnd"/>
      <w:r>
        <w:rPr>
          <w:rFonts w:ascii="Arial" w:hAnsi="Arial" w:cs="Arial"/>
        </w:rPr>
        <w:t xml:space="preserve"> how to maintain a residence. </w:t>
      </w:r>
    </w:p>
    <w:p w14:paraId="63605C36" w14:textId="77777777" w:rsidR="00A15FB5" w:rsidRPr="00776A4A" w:rsidRDefault="00A15FB5" w:rsidP="00A15FB5">
      <w:pPr>
        <w:rPr>
          <w:rFonts w:ascii="Arial" w:hAnsi="Arial" w:cs="Arial"/>
        </w:rPr>
      </w:pPr>
    </w:p>
    <w:p w14:paraId="6D4D6C75" w14:textId="6096D5ED" w:rsidR="00C3315C" w:rsidRPr="00776A4A" w:rsidRDefault="00C3315C" w:rsidP="00C3315C">
      <w:pPr>
        <w:rPr>
          <w:rFonts w:ascii="Arial" w:hAnsi="Arial" w:cs="Arial"/>
        </w:rPr>
      </w:pPr>
      <w:r w:rsidRPr="00C3315C">
        <w:rPr>
          <w:rFonts w:ascii="Arial" w:hAnsi="Arial" w:cs="Arial"/>
          <w:b/>
          <w:bCs/>
          <w:sz w:val="24"/>
          <w:szCs w:val="24"/>
        </w:rPr>
        <w:t xml:space="preserve">Health and Wellbeing: </w:t>
      </w:r>
      <w:r w:rsidR="00AB2989" w:rsidRPr="00AB2989">
        <w:rPr>
          <w:rFonts w:ascii="Arial" w:hAnsi="Arial" w:cs="Arial"/>
        </w:rPr>
        <w:t>Consider r</w:t>
      </w:r>
      <w:r w:rsidRPr="00AB2989">
        <w:rPr>
          <w:rFonts w:ascii="Arial" w:hAnsi="Arial" w:cs="Arial"/>
        </w:rPr>
        <w:t>eferrals</w:t>
      </w:r>
      <w:r w:rsidRPr="00776A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Pr="00776A4A">
        <w:rPr>
          <w:rFonts w:ascii="Arial" w:hAnsi="Arial" w:cs="Arial"/>
        </w:rPr>
        <w:t xml:space="preserve">o health </w:t>
      </w:r>
      <w:r>
        <w:rPr>
          <w:rFonts w:ascii="Arial" w:hAnsi="Arial" w:cs="Arial"/>
        </w:rPr>
        <w:t>s</w:t>
      </w:r>
      <w:r w:rsidRPr="00776A4A">
        <w:rPr>
          <w:rFonts w:ascii="Arial" w:hAnsi="Arial" w:cs="Arial"/>
        </w:rPr>
        <w:t>ervices such as Family Planning NSW</w:t>
      </w:r>
      <w:r>
        <w:rPr>
          <w:rFonts w:ascii="Arial" w:hAnsi="Arial" w:cs="Arial"/>
        </w:rPr>
        <w:t xml:space="preserve">, </w:t>
      </w:r>
      <w:r w:rsidRPr="00776A4A">
        <w:rPr>
          <w:rFonts w:ascii="Arial" w:hAnsi="Arial" w:cs="Arial"/>
        </w:rPr>
        <w:t>Headspace or Beyond Blue. Be</w:t>
      </w:r>
      <w:r>
        <w:rPr>
          <w:rFonts w:ascii="Arial" w:hAnsi="Arial" w:cs="Arial"/>
        </w:rPr>
        <w:t>come</w:t>
      </w:r>
      <w:r w:rsidRPr="00776A4A">
        <w:rPr>
          <w:rFonts w:ascii="Arial" w:hAnsi="Arial" w:cs="Arial"/>
        </w:rPr>
        <w:t xml:space="preserve"> familiar with </w:t>
      </w:r>
      <w:r>
        <w:rPr>
          <w:rFonts w:ascii="Arial" w:hAnsi="Arial" w:cs="Arial"/>
        </w:rPr>
        <w:t xml:space="preserve">available services </w:t>
      </w:r>
      <w:r w:rsidRPr="00776A4A">
        <w:rPr>
          <w:rFonts w:ascii="Arial" w:hAnsi="Arial" w:cs="Arial"/>
        </w:rPr>
        <w:t>in your area</w:t>
      </w:r>
      <w:r>
        <w:rPr>
          <w:rFonts w:ascii="Arial" w:hAnsi="Arial" w:cs="Arial"/>
        </w:rPr>
        <w:t>. U</w:t>
      </w:r>
      <w:r w:rsidRPr="00776A4A">
        <w:rPr>
          <w:rFonts w:ascii="Arial" w:hAnsi="Arial" w:cs="Arial"/>
        </w:rPr>
        <w:t>se HS Net and network with colleagues</w:t>
      </w:r>
      <w:r>
        <w:rPr>
          <w:rFonts w:ascii="Arial" w:hAnsi="Arial" w:cs="Arial"/>
        </w:rPr>
        <w:t xml:space="preserve"> to discover options</w:t>
      </w:r>
      <w:r w:rsidRPr="00776A4A">
        <w:rPr>
          <w:rFonts w:ascii="Arial" w:hAnsi="Arial" w:cs="Arial"/>
        </w:rPr>
        <w:t xml:space="preserve">. Some young people need support and advice regarding their identity and sexuality. </w:t>
      </w:r>
      <w:r w:rsidR="00AB2989">
        <w:rPr>
          <w:rFonts w:ascii="Arial" w:hAnsi="Arial" w:cs="Arial"/>
        </w:rPr>
        <w:t xml:space="preserve">Services such as </w:t>
      </w:r>
      <w:hyperlink r:id="rId7" w:history="1">
        <w:r w:rsidR="00AB2989" w:rsidRPr="00AB2989">
          <w:rPr>
            <w:rStyle w:val="Hyperlink"/>
            <w:rFonts w:ascii="Arial" w:hAnsi="Arial" w:cs="Arial"/>
          </w:rPr>
          <w:t>Twenty10</w:t>
        </w:r>
      </w:hyperlink>
      <w:r w:rsidR="00AB2989">
        <w:rPr>
          <w:rFonts w:ascii="Arial" w:hAnsi="Arial" w:cs="Arial"/>
        </w:rPr>
        <w:t xml:space="preserve"> </w:t>
      </w:r>
      <w:r w:rsidRPr="00776A4A">
        <w:rPr>
          <w:rFonts w:ascii="Arial" w:hAnsi="Arial" w:cs="Arial"/>
        </w:rPr>
        <w:t xml:space="preserve">and </w:t>
      </w:r>
      <w:hyperlink r:id="rId8" w:history="1">
        <w:proofErr w:type="spellStart"/>
        <w:r w:rsidR="00AB2989" w:rsidRPr="00AB2989">
          <w:rPr>
            <w:rStyle w:val="Hyperlink"/>
            <w:rFonts w:ascii="Arial" w:hAnsi="Arial" w:cs="Arial"/>
          </w:rPr>
          <w:t>Qlife</w:t>
        </w:r>
        <w:proofErr w:type="spellEnd"/>
      </w:hyperlink>
      <w:r w:rsidR="00AB2989">
        <w:rPr>
          <w:rFonts w:ascii="Arial" w:hAnsi="Arial" w:cs="Arial"/>
        </w:rPr>
        <w:t xml:space="preserve"> can help young people with questions they may have. </w:t>
      </w:r>
      <w:r w:rsidR="008F3CC1">
        <w:rPr>
          <w:rFonts w:ascii="Arial" w:hAnsi="Arial" w:cs="Arial"/>
        </w:rPr>
        <w:t xml:space="preserve">If a young person in care is expecting, or has a baby, </w:t>
      </w:r>
      <w:r>
        <w:rPr>
          <w:rFonts w:ascii="Arial" w:hAnsi="Arial" w:cs="Arial"/>
        </w:rPr>
        <w:t>consider referrals to young parenting programs, young mums playgrou</w:t>
      </w:r>
      <w:r w:rsidR="00C57129">
        <w:rPr>
          <w:rFonts w:ascii="Arial" w:hAnsi="Arial" w:cs="Arial"/>
        </w:rPr>
        <w:t>ps</w:t>
      </w:r>
      <w:r>
        <w:rPr>
          <w:rFonts w:ascii="Arial" w:hAnsi="Arial" w:cs="Arial"/>
        </w:rPr>
        <w:t xml:space="preserve"> and </w:t>
      </w:r>
      <w:r w:rsidR="008F3CC1">
        <w:rPr>
          <w:rFonts w:ascii="Arial" w:hAnsi="Arial" w:cs="Arial"/>
        </w:rPr>
        <w:t xml:space="preserve">help with </w:t>
      </w:r>
      <w:r>
        <w:rPr>
          <w:rFonts w:ascii="Arial" w:hAnsi="Arial" w:cs="Arial"/>
        </w:rPr>
        <w:t xml:space="preserve">arranging </w:t>
      </w:r>
      <w:proofErr w:type="gramStart"/>
      <w:r>
        <w:rPr>
          <w:rFonts w:ascii="Arial" w:hAnsi="Arial" w:cs="Arial"/>
        </w:rPr>
        <w:t>child care</w:t>
      </w:r>
      <w:proofErr w:type="gramEnd"/>
      <w:r>
        <w:rPr>
          <w:rFonts w:ascii="Arial" w:hAnsi="Arial" w:cs="Arial"/>
        </w:rPr>
        <w:t xml:space="preserve">. </w:t>
      </w:r>
    </w:p>
    <w:p w14:paraId="76B21B23" w14:textId="77777777" w:rsidR="00C3315C" w:rsidRPr="00776A4A" w:rsidRDefault="00C3315C" w:rsidP="00C3315C">
      <w:pPr>
        <w:rPr>
          <w:rFonts w:ascii="Arial" w:hAnsi="Arial" w:cs="Arial"/>
        </w:rPr>
      </w:pPr>
    </w:p>
    <w:p w14:paraId="29C80860" w14:textId="6B704DD7" w:rsidR="00C3315C" w:rsidRPr="00776A4A" w:rsidRDefault="00C3315C" w:rsidP="00C3315C">
      <w:pPr>
        <w:rPr>
          <w:rFonts w:ascii="Arial" w:hAnsi="Arial" w:cs="Arial"/>
        </w:rPr>
      </w:pPr>
      <w:r w:rsidRPr="00AB2989">
        <w:rPr>
          <w:rFonts w:ascii="Arial" w:hAnsi="Arial" w:cs="Arial"/>
          <w:b/>
          <w:bCs/>
          <w:sz w:val="24"/>
          <w:szCs w:val="24"/>
        </w:rPr>
        <w:t>Mentoring, training and employment:</w:t>
      </w:r>
      <w:r>
        <w:rPr>
          <w:rFonts w:ascii="Arial" w:hAnsi="Arial" w:cs="Arial"/>
          <w:b/>
          <w:bCs/>
        </w:rPr>
        <w:t xml:space="preserve"> </w:t>
      </w:r>
      <w:r w:rsidRPr="00776A4A">
        <w:rPr>
          <w:rFonts w:ascii="Arial" w:hAnsi="Arial" w:cs="Arial"/>
        </w:rPr>
        <w:t xml:space="preserve">Warm referrals to tailored </w:t>
      </w:r>
      <w:r w:rsidR="008F40B3">
        <w:rPr>
          <w:rFonts w:ascii="Arial" w:hAnsi="Arial" w:cs="Arial"/>
        </w:rPr>
        <w:t xml:space="preserve">mentoring </w:t>
      </w:r>
      <w:r w:rsidRPr="00776A4A">
        <w:rPr>
          <w:rFonts w:ascii="Arial" w:hAnsi="Arial" w:cs="Arial"/>
        </w:rPr>
        <w:t xml:space="preserve">programs such as the </w:t>
      </w:r>
      <w:hyperlink r:id="rId9" w:history="1">
        <w:r w:rsidRPr="008F40B3">
          <w:rPr>
            <w:rStyle w:val="Hyperlink"/>
            <w:rFonts w:ascii="Arial" w:hAnsi="Arial" w:cs="Arial"/>
          </w:rPr>
          <w:t xml:space="preserve">Ladder </w:t>
        </w:r>
        <w:r w:rsidR="008F40B3" w:rsidRPr="008F40B3">
          <w:rPr>
            <w:rStyle w:val="Hyperlink"/>
            <w:rFonts w:ascii="Arial" w:hAnsi="Arial" w:cs="Arial"/>
          </w:rPr>
          <w:t xml:space="preserve">Step Up </w:t>
        </w:r>
        <w:r w:rsidRPr="008F40B3">
          <w:rPr>
            <w:rStyle w:val="Hyperlink"/>
            <w:rFonts w:ascii="Arial" w:hAnsi="Arial" w:cs="Arial"/>
          </w:rPr>
          <w:t>program</w:t>
        </w:r>
      </w:hyperlink>
      <w:r>
        <w:rPr>
          <w:rFonts w:ascii="Arial" w:hAnsi="Arial" w:cs="Arial"/>
        </w:rPr>
        <w:t xml:space="preserve">, </w:t>
      </w:r>
      <w:hyperlink r:id="rId10" w:history="1">
        <w:r w:rsidRPr="008F40B3">
          <w:rPr>
            <w:rStyle w:val="Hyperlink"/>
            <w:rFonts w:ascii="Arial" w:hAnsi="Arial" w:cs="Arial"/>
          </w:rPr>
          <w:t>Boys To The Bush</w:t>
        </w:r>
      </w:hyperlink>
      <w:r>
        <w:rPr>
          <w:rFonts w:ascii="Arial" w:hAnsi="Arial" w:cs="Arial"/>
        </w:rPr>
        <w:t xml:space="preserve"> and</w:t>
      </w:r>
      <w:r w:rsidRPr="00776A4A">
        <w:rPr>
          <w:rFonts w:ascii="Arial" w:hAnsi="Arial" w:cs="Arial"/>
        </w:rPr>
        <w:t xml:space="preserve"> </w:t>
      </w:r>
      <w:hyperlink r:id="rId11" w:history="1">
        <w:r w:rsidRPr="008F40B3">
          <w:rPr>
            <w:rStyle w:val="Hyperlink"/>
            <w:rFonts w:ascii="Arial" w:hAnsi="Arial" w:cs="Arial"/>
          </w:rPr>
          <w:t>ID</w:t>
        </w:r>
        <w:r w:rsidR="008F40B3" w:rsidRPr="008F40B3">
          <w:rPr>
            <w:rStyle w:val="Hyperlink"/>
            <w:rFonts w:ascii="Arial" w:hAnsi="Arial" w:cs="Arial"/>
          </w:rPr>
          <w:t xml:space="preserve"> </w:t>
        </w:r>
        <w:r w:rsidRPr="008F40B3">
          <w:rPr>
            <w:rStyle w:val="Hyperlink"/>
            <w:rFonts w:ascii="Arial" w:hAnsi="Arial" w:cs="Arial"/>
          </w:rPr>
          <w:t>KNOW</w:t>
        </w:r>
        <w:r w:rsidR="008F40B3" w:rsidRPr="008F40B3">
          <w:rPr>
            <w:rStyle w:val="Hyperlink"/>
            <w:rFonts w:ascii="Arial" w:hAnsi="Arial" w:cs="Arial"/>
          </w:rPr>
          <w:t xml:space="preserve"> </w:t>
        </w:r>
        <w:r w:rsidRPr="008F40B3">
          <w:rPr>
            <w:rStyle w:val="Hyperlink"/>
            <w:rFonts w:ascii="Arial" w:hAnsi="Arial" w:cs="Arial"/>
          </w:rPr>
          <w:t>YOURSELF</w:t>
        </w:r>
      </w:hyperlink>
      <w:r w:rsidRPr="00776A4A">
        <w:rPr>
          <w:rFonts w:ascii="Arial" w:hAnsi="Arial" w:cs="Arial"/>
        </w:rPr>
        <w:t xml:space="preserve"> can assist with building confidence and strengthening opportunities for re-engaging with school, employment and training</w:t>
      </w:r>
      <w:r>
        <w:rPr>
          <w:rFonts w:ascii="Arial" w:hAnsi="Arial" w:cs="Arial"/>
        </w:rPr>
        <w:t xml:space="preserve">. </w:t>
      </w:r>
      <w:r w:rsidR="00A15FB5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heck out </w:t>
      </w:r>
      <w:hyperlink r:id="rId12" w:history="1">
        <w:r w:rsidRPr="008F40B3">
          <w:rPr>
            <w:rStyle w:val="Hyperlink"/>
            <w:rFonts w:ascii="Arial" w:hAnsi="Arial" w:cs="Arial"/>
          </w:rPr>
          <w:t>Smart and Skilled</w:t>
        </w:r>
        <w:r w:rsidR="008F40B3" w:rsidRPr="008F40B3">
          <w:rPr>
            <w:rStyle w:val="Hyperlink"/>
            <w:rFonts w:ascii="Arial" w:hAnsi="Arial" w:cs="Arial"/>
          </w:rPr>
          <w:t xml:space="preserve"> government funded courses</w:t>
        </w:r>
      </w:hyperlink>
      <w:r w:rsidR="008F40B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HSC boot</w:t>
      </w:r>
      <w:r w:rsidR="000A56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camps</w:t>
      </w:r>
      <w:r w:rsidR="008F40B3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tutoring</w:t>
      </w:r>
      <w:r w:rsidR="008F40B3">
        <w:rPr>
          <w:rFonts w:ascii="Arial" w:hAnsi="Arial" w:cs="Arial"/>
        </w:rPr>
        <w:t xml:space="preserve">. </w:t>
      </w:r>
      <w:r w:rsidR="00187161">
        <w:rPr>
          <w:rFonts w:ascii="Arial" w:hAnsi="Arial" w:cs="Arial"/>
        </w:rPr>
        <w:t>Consider how to b</w:t>
      </w:r>
      <w:r w:rsidR="000A563A">
        <w:rPr>
          <w:rFonts w:ascii="Arial" w:hAnsi="Arial" w:cs="Arial"/>
        </w:rPr>
        <w:t xml:space="preserve">uild local partnerships to </w:t>
      </w:r>
      <w:r w:rsidR="00187161">
        <w:rPr>
          <w:rFonts w:ascii="Arial" w:hAnsi="Arial" w:cs="Arial"/>
        </w:rPr>
        <w:t xml:space="preserve">help </w:t>
      </w:r>
      <w:r w:rsidR="000A563A">
        <w:rPr>
          <w:rFonts w:ascii="Arial" w:hAnsi="Arial" w:cs="Arial"/>
        </w:rPr>
        <w:t>deliver living skills</w:t>
      </w:r>
      <w:r w:rsidR="00187161">
        <w:rPr>
          <w:rFonts w:ascii="Arial" w:hAnsi="Arial" w:cs="Arial"/>
        </w:rPr>
        <w:t xml:space="preserve"> or driving hours</w:t>
      </w:r>
      <w:r w:rsidR="000A563A">
        <w:rPr>
          <w:rFonts w:ascii="Arial" w:hAnsi="Arial" w:cs="Arial"/>
        </w:rPr>
        <w:t xml:space="preserve"> to care leavers. </w:t>
      </w:r>
    </w:p>
    <w:p w14:paraId="79F60BAF" w14:textId="6218789D" w:rsidR="00C3315C" w:rsidRPr="00776A4A" w:rsidRDefault="00C3315C" w:rsidP="00C3315C">
      <w:pPr>
        <w:rPr>
          <w:rFonts w:ascii="Arial" w:hAnsi="Arial" w:cs="Arial"/>
        </w:rPr>
      </w:pPr>
    </w:p>
    <w:p w14:paraId="0DEF4787" w14:textId="78770F53" w:rsidR="00C3315C" w:rsidRPr="00776A4A" w:rsidRDefault="00A15FB5" w:rsidP="00C3315C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>S</w:t>
      </w:r>
      <w:r w:rsidR="00C3315C" w:rsidRPr="00AB2989">
        <w:rPr>
          <w:rFonts w:ascii="Arial" w:hAnsi="Arial" w:cs="Arial"/>
          <w:b/>
          <w:bCs/>
          <w:sz w:val="24"/>
          <w:szCs w:val="24"/>
        </w:rPr>
        <w:t xml:space="preserve">pecialist Aftercare </w:t>
      </w:r>
      <w:r w:rsidR="0015523B">
        <w:rPr>
          <w:rFonts w:ascii="Arial" w:hAnsi="Arial" w:cs="Arial"/>
          <w:b/>
          <w:bCs/>
          <w:sz w:val="24"/>
          <w:szCs w:val="24"/>
        </w:rPr>
        <w:t>Services</w:t>
      </w:r>
      <w:r w:rsidR="00C3315C" w:rsidRPr="00AB2989">
        <w:rPr>
          <w:rFonts w:ascii="Arial" w:hAnsi="Arial" w:cs="Arial"/>
          <w:b/>
          <w:bCs/>
          <w:sz w:val="24"/>
          <w:szCs w:val="24"/>
        </w:rPr>
        <w:t>:</w:t>
      </w:r>
      <w:r w:rsidR="00C3315C">
        <w:rPr>
          <w:rFonts w:ascii="Arial" w:hAnsi="Arial" w:cs="Arial"/>
          <w:b/>
          <w:bCs/>
        </w:rPr>
        <w:t xml:space="preserve"> </w:t>
      </w:r>
      <w:r w:rsidR="00C3315C" w:rsidRPr="00776A4A">
        <w:rPr>
          <w:rFonts w:ascii="Arial" w:hAnsi="Arial" w:cs="Arial"/>
        </w:rPr>
        <w:t xml:space="preserve">Young people with complex needs </w:t>
      </w:r>
      <w:r w:rsidR="0015523B">
        <w:rPr>
          <w:rFonts w:ascii="Arial" w:hAnsi="Arial" w:cs="Arial"/>
        </w:rPr>
        <w:t>who require intensive assistance can receive the help they need from a</w:t>
      </w:r>
      <w:r w:rsidR="00C3315C" w:rsidRPr="00776A4A">
        <w:rPr>
          <w:rFonts w:ascii="Arial" w:hAnsi="Arial" w:cs="Arial"/>
        </w:rPr>
        <w:t xml:space="preserve"> </w:t>
      </w:r>
      <w:hyperlink r:id="rId13" w:history="1">
        <w:r w:rsidR="00C3315C" w:rsidRPr="00A15FB5">
          <w:rPr>
            <w:rStyle w:val="Hyperlink"/>
            <w:rFonts w:ascii="Arial" w:hAnsi="Arial" w:cs="Arial"/>
          </w:rPr>
          <w:t>Specialist Aftercare Service</w:t>
        </w:r>
      </w:hyperlink>
      <w:r w:rsidR="00C3315C" w:rsidRPr="00776A4A">
        <w:rPr>
          <w:rFonts w:ascii="Arial" w:hAnsi="Arial" w:cs="Arial"/>
        </w:rPr>
        <w:t xml:space="preserve">. You can also work in partnership with these services to support a young person. </w:t>
      </w:r>
    </w:p>
    <w:p w14:paraId="2F97CBBA" w14:textId="77777777" w:rsidR="00C3315C" w:rsidRPr="00776A4A" w:rsidRDefault="00C3315C" w:rsidP="00C3315C">
      <w:pPr>
        <w:rPr>
          <w:rFonts w:ascii="Arial" w:hAnsi="Arial" w:cs="Arial"/>
        </w:rPr>
      </w:pPr>
    </w:p>
    <w:p w14:paraId="4252336B" w14:textId="05B88A17" w:rsidR="004F6074" w:rsidRPr="004106B0" w:rsidRDefault="00C3315C" w:rsidP="000C0F90">
      <w:r w:rsidRPr="00AB2989">
        <w:rPr>
          <w:rFonts w:ascii="Arial" w:hAnsi="Arial" w:cs="Arial"/>
          <w:b/>
          <w:bCs/>
          <w:sz w:val="24"/>
          <w:szCs w:val="24"/>
        </w:rPr>
        <w:t>More information</w:t>
      </w:r>
      <w:r w:rsidR="0015523B">
        <w:rPr>
          <w:rFonts w:ascii="Arial" w:hAnsi="Arial" w:cs="Arial"/>
          <w:b/>
          <w:bCs/>
          <w:sz w:val="24"/>
          <w:szCs w:val="24"/>
        </w:rPr>
        <w:t xml:space="preserve">: </w:t>
      </w:r>
      <w:r w:rsidR="000A563A" w:rsidRPr="000A563A">
        <w:rPr>
          <w:rFonts w:ascii="Arial" w:hAnsi="Arial" w:cs="Arial"/>
          <w:bCs/>
        </w:rPr>
        <w:t>Listings</w:t>
      </w:r>
      <w:r w:rsidR="00D105E0">
        <w:rPr>
          <w:rFonts w:ascii="Arial" w:hAnsi="Arial" w:cs="Arial"/>
        </w:rPr>
        <w:t xml:space="preserve"> above are current at time of publishing. Visit the</w:t>
      </w:r>
      <w:r>
        <w:rPr>
          <w:rFonts w:ascii="Arial" w:hAnsi="Arial" w:cs="Arial"/>
        </w:rPr>
        <w:t xml:space="preserve"> </w:t>
      </w:r>
      <w:hyperlink r:id="rId14" w:history="1">
        <w:r w:rsidRPr="000C0F90">
          <w:rPr>
            <w:rStyle w:val="Hyperlink"/>
            <w:rFonts w:ascii="Arial" w:hAnsi="Arial" w:cs="Arial"/>
          </w:rPr>
          <w:t>DCJ website</w:t>
        </w:r>
      </w:hyperlink>
      <w:r>
        <w:rPr>
          <w:rFonts w:ascii="Arial" w:hAnsi="Arial" w:cs="Arial"/>
        </w:rPr>
        <w:t xml:space="preserve"> </w:t>
      </w:r>
      <w:r w:rsidRPr="00776A4A">
        <w:rPr>
          <w:rFonts w:ascii="Arial" w:hAnsi="Arial" w:cs="Arial"/>
        </w:rPr>
        <w:t xml:space="preserve">leaving care </w:t>
      </w:r>
      <w:r>
        <w:rPr>
          <w:rFonts w:ascii="Arial" w:hAnsi="Arial" w:cs="Arial"/>
        </w:rPr>
        <w:t>section for</w:t>
      </w:r>
      <w:r w:rsidR="00D105E0">
        <w:rPr>
          <w:rFonts w:ascii="Arial" w:hAnsi="Arial" w:cs="Arial"/>
        </w:rPr>
        <w:t xml:space="preserve"> up to date</w:t>
      </w:r>
      <w:r>
        <w:rPr>
          <w:rFonts w:ascii="Arial" w:hAnsi="Arial" w:cs="Arial"/>
        </w:rPr>
        <w:t xml:space="preserve"> information and resources to support referrals when planning for a young person’s transition to independence.</w:t>
      </w:r>
      <w:r w:rsidR="00D105E0">
        <w:rPr>
          <w:rFonts w:ascii="Arial" w:hAnsi="Arial" w:cs="Arial"/>
        </w:rPr>
        <w:t xml:space="preserve"> Also the Care Leavers Line (1800 994 686 or </w:t>
      </w:r>
      <w:hyperlink r:id="rId15" w:history="1">
        <w:r w:rsidR="00D105E0" w:rsidRPr="00541E11">
          <w:rPr>
            <w:rStyle w:val="Hyperlink"/>
            <w:rFonts w:ascii="Arial" w:hAnsi="Arial" w:cs="Arial"/>
          </w:rPr>
          <w:t>careleaversline@facs.nsw.gov.au</w:t>
        </w:r>
      </w:hyperlink>
      <w:r w:rsidR="00D105E0">
        <w:rPr>
          <w:rFonts w:ascii="Arial" w:hAnsi="Arial" w:cs="Arial"/>
        </w:rPr>
        <w:t xml:space="preserve">) and </w:t>
      </w:r>
      <w:hyperlink r:id="rId16" w:history="1">
        <w:r w:rsidR="00D105E0" w:rsidRPr="000C0F90">
          <w:rPr>
            <w:rStyle w:val="Hyperlink"/>
            <w:rFonts w:ascii="Arial" w:hAnsi="Arial" w:cs="Arial"/>
            <w:i/>
            <w:iCs/>
          </w:rPr>
          <w:t>Your Next Step</w:t>
        </w:r>
      </w:hyperlink>
      <w:r w:rsidR="00D105E0">
        <w:rPr>
          <w:rFonts w:ascii="Arial" w:hAnsi="Arial" w:cs="Arial"/>
        </w:rPr>
        <w:t xml:space="preserve"> are handy resources for young people.</w:t>
      </w:r>
    </w:p>
    <w:sectPr w:rsidR="004F6074" w:rsidRPr="004106B0" w:rsidSect="0001752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3119" w:right="1133" w:bottom="993" w:left="1134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48555" w14:textId="77777777" w:rsidR="00D22A4A" w:rsidRDefault="00D22A4A" w:rsidP="00F07933">
      <w:r>
        <w:separator/>
      </w:r>
    </w:p>
  </w:endnote>
  <w:endnote w:type="continuationSeparator" w:id="0">
    <w:p w14:paraId="430020F5" w14:textId="77777777" w:rsidR="00D22A4A" w:rsidRDefault="00D22A4A" w:rsidP="00F07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C83EE" w14:textId="77777777" w:rsidR="0006301B" w:rsidRDefault="000630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954215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color w:val="808080" w:themeColor="background1" w:themeShade="80"/>
        <w:sz w:val="18"/>
        <w:szCs w:val="18"/>
      </w:rPr>
    </w:sdtEndPr>
    <w:sdtContent>
      <w:p w14:paraId="6F9AB0BD" w14:textId="4A9FEEBD" w:rsidR="00017520" w:rsidRPr="00017520" w:rsidRDefault="00017520">
        <w:pPr>
          <w:pStyle w:val="Footer"/>
          <w:jc w:val="right"/>
          <w:rPr>
            <w:rFonts w:ascii="Arial" w:hAnsi="Arial" w:cs="Arial"/>
            <w:color w:val="808080" w:themeColor="background1" w:themeShade="80"/>
            <w:sz w:val="18"/>
            <w:szCs w:val="18"/>
          </w:rPr>
        </w:pPr>
        <w:r w:rsidRPr="00017520">
          <w:rPr>
            <w:rFonts w:ascii="Arial" w:hAnsi="Arial" w:cs="Arial"/>
            <w:color w:val="808080" w:themeColor="background1" w:themeShade="80"/>
            <w:sz w:val="18"/>
            <w:szCs w:val="18"/>
          </w:rPr>
          <w:fldChar w:fldCharType="begin"/>
        </w:r>
        <w:r w:rsidRPr="00017520">
          <w:rPr>
            <w:rFonts w:ascii="Arial" w:hAnsi="Arial" w:cs="Arial"/>
            <w:color w:val="808080" w:themeColor="background1" w:themeShade="80"/>
            <w:sz w:val="18"/>
            <w:szCs w:val="18"/>
          </w:rPr>
          <w:instrText xml:space="preserve"> PAGE   \* MERGEFORMAT </w:instrText>
        </w:r>
        <w:r w:rsidRPr="00017520">
          <w:rPr>
            <w:rFonts w:ascii="Arial" w:hAnsi="Arial" w:cs="Arial"/>
            <w:color w:val="808080" w:themeColor="background1" w:themeShade="80"/>
            <w:sz w:val="18"/>
            <w:szCs w:val="18"/>
          </w:rPr>
          <w:fldChar w:fldCharType="separate"/>
        </w:r>
        <w:r w:rsidR="002C3006">
          <w:rPr>
            <w:rFonts w:ascii="Arial" w:hAnsi="Arial" w:cs="Arial"/>
            <w:noProof/>
            <w:color w:val="808080" w:themeColor="background1" w:themeShade="80"/>
            <w:sz w:val="18"/>
            <w:szCs w:val="18"/>
          </w:rPr>
          <w:t>1</w:t>
        </w:r>
        <w:r w:rsidRPr="00017520">
          <w:rPr>
            <w:rFonts w:ascii="Arial" w:hAnsi="Arial" w:cs="Arial"/>
            <w:noProof/>
            <w:color w:val="808080" w:themeColor="background1" w:themeShade="80"/>
            <w:sz w:val="18"/>
            <w:szCs w:val="18"/>
          </w:rPr>
          <w:fldChar w:fldCharType="end"/>
        </w:r>
      </w:p>
    </w:sdtContent>
  </w:sdt>
  <w:p w14:paraId="1C7B40B1" w14:textId="33BD91D4" w:rsidR="00017520" w:rsidRDefault="0006301B" w:rsidP="0006301B">
    <w:pPr>
      <w:pStyle w:val="Footer"/>
      <w:tabs>
        <w:tab w:val="clear" w:pos="4513"/>
        <w:tab w:val="clear" w:pos="9026"/>
        <w:tab w:val="left" w:pos="8189"/>
        <w:tab w:val="right" w:pos="9639"/>
      </w:tabs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6B414" w14:textId="77777777" w:rsidR="0006301B" w:rsidRDefault="000630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A3178" w14:textId="77777777" w:rsidR="00D22A4A" w:rsidRDefault="00D22A4A" w:rsidP="00F07933">
      <w:r>
        <w:separator/>
      </w:r>
    </w:p>
  </w:footnote>
  <w:footnote w:type="continuationSeparator" w:id="0">
    <w:p w14:paraId="4B5FE028" w14:textId="77777777" w:rsidR="00D22A4A" w:rsidRDefault="00D22A4A" w:rsidP="00F07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7BA83" w14:textId="77777777" w:rsidR="0006301B" w:rsidRDefault="000630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94B30" w14:textId="28D73EFB" w:rsidR="00F07933" w:rsidRDefault="0006301B">
    <w:pPr>
      <w:pStyle w:val="Header"/>
    </w:pPr>
    <w:r>
      <w:rPr>
        <w:rFonts w:ascii="Arial" w:hAnsi="Arial" w:cs="Arial"/>
        <w:noProof/>
      </w:rPr>
      <w:drawing>
        <wp:anchor distT="0" distB="0" distL="114300" distR="114300" simplePos="0" relativeHeight="251662336" behindDoc="1" locked="0" layoutInCell="1" allowOverlap="1" wp14:anchorId="6497E33F" wp14:editId="79638FD0">
          <wp:simplePos x="0" y="0"/>
          <wp:positionH relativeFrom="margin">
            <wp:posOffset>0</wp:posOffset>
          </wp:positionH>
          <wp:positionV relativeFrom="paragraph">
            <wp:posOffset>323528</wp:posOffset>
          </wp:positionV>
          <wp:extent cx="982639" cy="982639"/>
          <wp:effectExtent l="0" t="0" r="8255" b="8255"/>
          <wp:wrapTight wrapText="bothSides">
            <wp:wrapPolygon edited="0">
              <wp:start x="0" y="0"/>
              <wp:lineTo x="0" y="21363"/>
              <wp:lineTo x="21363" y="21363"/>
              <wp:lineTo x="21363" y="0"/>
              <wp:lineTo x="0" y="0"/>
            </wp:wrapPolygon>
          </wp:wrapTight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SW colou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639" cy="9826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2975420E" wp14:editId="1A6F82F5">
          <wp:simplePos x="0" y="0"/>
          <wp:positionH relativeFrom="page">
            <wp:posOffset>68239</wp:posOffset>
          </wp:positionH>
          <wp:positionV relativeFrom="paragraph">
            <wp:posOffset>4873047</wp:posOffset>
          </wp:positionV>
          <wp:extent cx="7492504" cy="536003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A4_Border-Watermark.jpg"/>
                  <pic:cNvPicPr/>
                </pic:nvPicPr>
                <pic:blipFill rotWithShape="1">
                  <a:blip r:embed="rId2" cstate="print">
                    <a:alphaModFix amt="3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039"/>
                  <a:stretch/>
                </pic:blipFill>
                <pic:spPr bwMode="auto">
                  <a:xfrm>
                    <a:off x="0" y="0"/>
                    <a:ext cx="7503090" cy="53676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3C31"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5E0EFD2" wp14:editId="608A8832">
              <wp:simplePos x="0" y="0"/>
              <wp:positionH relativeFrom="margin">
                <wp:posOffset>1203960</wp:posOffset>
              </wp:positionH>
              <wp:positionV relativeFrom="paragraph">
                <wp:posOffset>410210</wp:posOffset>
              </wp:positionV>
              <wp:extent cx="5022215" cy="9906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2215" cy="990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C81943" w14:textId="5C3E4A8C" w:rsidR="00292ADB" w:rsidRPr="000B3C31" w:rsidRDefault="00C3315C" w:rsidP="000B3C31">
                          <w:pPr>
                            <w:pStyle w:val="H1"/>
                            <w:ind w:left="0"/>
                            <w:rPr>
                              <w:sz w:val="22"/>
                              <w:szCs w:val="22"/>
                            </w:rPr>
                          </w:pPr>
                          <w:r w:rsidRPr="00C3315C">
                            <w:rPr>
                              <w:color w:val="002060"/>
                            </w:rPr>
                            <w:t xml:space="preserve">Leaving care planning – referrals, </w:t>
                          </w:r>
                          <w:proofErr w:type="gramStart"/>
                          <w:r w:rsidRPr="00C3315C">
                            <w:rPr>
                              <w:color w:val="002060"/>
                            </w:rPr>
                            <w:t>collaboration</w:t>
                          </w:r>
                          <w:proofErr w:type="gramEnd"/>
                          <w:r w:rsidRPr="00C3315C">
                            <w:rPr>
                              <w:color w:val="002060"/>
                            </w:rPr>
                            <w:t xml:space="preserve"> and connections</w:t>
                          </w:r>
                          <w:r w:rsidR="000B3C31" w:rsidRPr="00C3315C">
                            <w:rPr>
                              <w:color w:val="002060"/>
                            </w:rPr>
                            <w:t xml:space="preserve">                                                                                   </w:t>
                          </w:r>
                          <w:r>
                            <w:rPr>
                              <w:color w:val="FFFFFF" w:themeColor="background1"/>
                            </w:rPr>
                            <w:tab/>
                          </w:r>
                          <w:r w:rsidR="000B3C31">
                            <w:rPr>
                              <w:sz w:val="22"/>
                              <w:szCs w:val="22"/>
                            </w:rPr>
                            <w:t xml:space="preserve">                                                                                 </w:t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</w:r>
                          <w:r w:rsidR="000B3C31"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  <w:szCs w:val="22"/>
                            </w:rPr>
                            <w:t>May</w:t>
                          </w:r>
                          <w:r w:rsidR="000B3C31">
                            <w:rPr>
                              <w:sz w:val="22"/>
                              <w:szCs w:val="22"/>
                            </w:rPr>
                            <w:t xml:space="preserve"> 2021</w:t>
                          </w:r>
                        </w:p>
                        <w:p w14:paraId="677DC866" w14:textId="77777777" w:rsidR="000B3C31" w:rsidRDefault="000B3C31" w:rsidP="008042B4">
                          <w:pPr>
                            <w:pStyle w:val="H1"/>
                            <w:ind w:left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E0EFD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94.8pt;margin-top:32.3pt;width:395.45pt;height:7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UwNCwIAAPQDAAAOAAAAZHJzL2Uyb0RvYy54bWysU9tu2zAMfR+wfxD0vtgxkrYx4hRduw4D&#10;ugvQ7gMYWY6FSaImKbG7rx8lp2mwvQ3TgyCK5BHPIbW+Ho1mB+mDQtvw+azkTFqBrbK7hn9/un93&#10;xVmIYFvQaGXDn2Xg15u3b9aDq2WFPepWekYgNtSDa3gfo6uLIoheGggzdNKSs0NvIJLpd0XrYSB0&#10;o4uqLC+KAX3rPAoZAt3eTU6+yfhdJ0X82nVBRqYbTrXFvPu8b9NebNZQ7zy4XoljGfAPVRhQlh49&#10;Qd1BBLb36i8oo4THgF2cCTQFdp0SMnMgNvPyDzaPPTiZuZA4wZ1kCv8PVnw5fPNMtQ2v5pecWTDU&#10;pCc5RvYeR1YlfQYXagp7dBQYR7qmPmeuwT2g+BGYxdse7E7eeI9DL6Gl+uYpszhLnXBCAtkOn7Gl&#10;Z2AfMQONnTdJPJKDETr16fnUm1SKoMtlWVXVfMmZIN9qVV6UuXkF1C/Zzof4UaJh6dBwT73P6HB4&#10;CDFVA/VLSHrM4r3SOvdfWzYQ6LJa5oQzj1GRxlMr0/CrMq1pYBLJD7bNyRGUns70gLZH1onoRDmO&#10;25ECkxRbbJ+Jv8dpDOnb0KFH/4uzgUaw4eHnHrzkTH+ypOFqvlikmc3GYnlZkeHPPdtzD1hBUA2P&#10;nE3H25jnfOJ6Q1p3KsvwWsmxVhqtrM7xG6TZPbdz1Otn3fwGAAD//wMAUEsDBBQABgAIAAAAIQDW&#10;YfsA3gAAAAoBAAAPAAAAZHJzL2Rvd25yZXYueG1sTI/BTsMwDIbvSHuHyEjcWEK1VW1pOk0grqBt&#10;gMQta7y2onGqJlvL2+Od4GT98qffn8vN7HpxwTF0njQ8LBUIpNrbjhoN74eX+wxEiIas6T2hhh8M&#10;sKkWN6UprJ9oh5d9bASXUCiMhjbGoZAy1C06E5Z+QOLdyY/ORI5jI+1oJi53vUyUSqUzHfGF1gz4&#10;1GL9vT87DR+vp6/PlXprnt16mPysJLlcan13O28fQUSc4x8MV31Wh4qdjv5MNoiec5anjGpIVzwZ&#10;yDO1BnHUkCQqBVmV8v8L1S8AAAD//wMAUEsBAi0AFAAGAAgAAAAhALaDOJL+AAAA4QEAABMAAAAA&#10;AAAAAAAAAAAAAAAAAFtDb250ZW50X1R5cGVzXS54bWxQSwECLQAUAAYACAAAACEAOP0h/9YAAACU&#10;AQAACwAAAAAAAAAAAAAAAAAvAQAAX3JlbHMvLnJlbHNQSwECLQAUAAYACAAAACEAsrFMDQsCAAD0&#10;AwAADgAAAAAAAAAAAAAAAAAuAgAAZHJzL2Uyb0RvYy54bWxQSwECLQAUAAYACAAAACEA1mH7AN4A&#10;AAAKAQAADwAAAAAAAAAAAAAAAABlBAAAZHJzL2Rvd25yZXYueG1sUEsFBgAAAAAEAAQA8wAAAHAF&#10;AAAAAA==&#10;" filled="f" stroked="f">
              <v:textbox>
                <w:txbxContent>
                  <w:p w14:paraId="10C81943" w14:textId="5C3E4A8C" w:rsidR="00292ADB" w:rsidRPr="000B3C31" w:rsidRDefault="00C3315C" w:rsidP="000B3C31">
                    <w:pPr>
                      <w:pStyle w:val="H1"/>
                      <w:ind w:left="0"/>
                      <w:rPr>
                        <w:sz w:val="22"/>
                        <w:szCs w:val="22"/>
                      </w:rPr>
                    </w:pPr>
                    <w:r w:rsidRPr="00C3315C">
                      <w:rPr>
                        <w:color w:val="002060"/>
                      </w:rPr>
                      <w:t>Leaving care planning – referrals, collaboration and connections</w:t>
                    </w:r>
                    <w:r w:rsidR="000B3C31" w:rsidRPr="00C3315C">
                      <w:rPr>
                        <w:color w:val="002060"/>
                      </w:rPr>
                      <w:t xml:space="preserve">                                                                                   </w:t>
                    </w:r>
                    <w:r>
                      <w:rPr>
                        <w:color w:val="FFFFFF" w:themeColor="background1"/>
                      </w:rPr>
                      <w:tab/>
                    </w:r>
                    <w:r w:rsidR="000B3C31">
                      <w:rPr>
                        <w:sz w:val="22"/>
                        <w:szCs w:val="22"/>
                      </w:rPr>
                      <w:t xml:space="preserve">                                                                                 </w:t>
                    </w:r>
                    <w:r>
                      <w:rPr>
                        <w:sz w:val="22"/>
                        <w:szCs w:val="22"/>
                      </w:rPr>
                      <w:tab/>
                    </w:r>
                    <w:r>
                      <w:rPr>
                        <w:sz w:val="22"/>
                        <w:szCs w:val="22"/>
                      </w:rPr>
                      <w:tab/>
                    </w:r>
                    <w:r w:rsidR="000B3C31">
                      <w:rPr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May</w:t>
                    </w:r>
                    <w:r w:rsidR="000B3C31">
                      <w:rPr>
                        <w:sz w:val="22"/>
                        <w:szCs w:val="22"/>
                      </w:rPr>
                      <w:t xml:space="preserve"> 2021</w:t>
                    </w:r>
                  </w:p>
                  <w:p w14:paraId="677DC866" w14:textId="77777777" w:rsidR="000B3C31" w:rsidRDefault="000B3C31" w:rsidP="008042B4">
                    <w:pPr>
                      <w:pStyle w:val="H1"/>
                      <w:ind w:left="0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FEEB6" w14:textId="77777777" w:rsidR="0006301B" w:rsidRDefault="000630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3C6A"/>
    <w:multiLevelType w:val="hybridMultilevel"/>
    <w:tmpl w:val="55FAD5A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56318C6"/>
    <w:multiLevelType w:val="hybridMultilevel"/>
    <w:tmpl w:val="2E7CC8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17630"/>
    <w:multiLevelType w:val="hybridMultilevel"/>
    <w:tmpl w:val="DBB42C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26FF3"/>
    <w:multiLevelType w:val="hybridMultilevel"/>
    <w:tmpl w:val="3790EA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87842"/>
    <w:multiLevelType w:val="hybridMultilevel"/>
    <w:tmpl w:val="FCD28D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84DAD"/>
    <w:multiLevelType w:val="hybridMultilevel"/>
    <w:tmpl w:val="787C9E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B93A7D"/>
    <w:multiLevelType w:val="hybridMultilevel"/>
    <w:tmpl w:val="3E20D2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47B9F"/>
    <w:multiLevelType w:val="hybridMultilevel"/>
    <w:tmpl w:val="CDFCF7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A4A"/>
    <w:rsid w:val="00017520"/>
    <w:rsid w:val="00025BBA"/>
    <w:rsid w:val="0006301B"/>
    <w:rsid w:val="00081479"/>
    <w:rsid w:val="000A563A"/>
    <w:rsid w:val="000B3C31"/>
    <w:rsid w:val="000C0F90"/>
    <w:rsid w:val="00120F43"/>
    <w:rsid w:val="001526E1"/>
    <w:rsid w:val="0015523B"/>
    <w:rsid w:val="00187161"/>
    <w:rsid w:val="001E34B0"/>
    <w:rsid w:val="00251673"/>
    <w:rsid w:val="00281082"/>
    <w:rsid w:val="00292ADB"/>
    <w:rsid w:val="002C3006"/>
    <w:rsid w:val="002E1D11"/>
    <w:rsid w:val="0035467B"/>
    <w:rsid w:val="003B1629"/>
    <w:rsid w:val="003D2F10"/>
    <w:rsid w:val="004106B0"/>
    <w:rsid w:val="004B4E9A"/>
    <w:rsid w:val="004F6074"/>
    <w:rsid w:val="00582F15"/>
    <w:rsid w:val="00676B2A"/>
    <w:rsid w:val="007269E0"/>
    <w:rsid w:val="00757ED2"/>
    <w:rsid w:val="0078561B"/>
    <w:rsid w:val="007B6D65"/>
    <w:rsid w:val="008042B4"/>
    <w:rsid w:val="008F3CC1"/>
    <w:rsid w:val="008F40B3"/>
    <w:rsid w:val="009A1B84"/>
    <w:rsid w:val="009C5751"/>
    <w:rsid w:val="00A15FB5"/>
    <w:rsid w:val="00A31B59"/>
    <w:rsid w:val="00A71A52"/>
    <w:rsid w:val="00AB2989"/>
    <w:rsid w:val="00AC378B"/>
    <w:rsid w:val="00AC77F0"/>
    <w:rsid w:val="00AF1E2D"/>
    <w:rsid w:val="00BD1A05"/>
    <w:rsid w:val="00BE33B4"/>
    <w:rsid w:val="00BF3629"/>
    <w:rsid w:val="00C167A7"/>
    <w:rsid w:val="00C3315C"/>
    <w:rsid w:val="00C57129"/>
    <w:rsid w:val="00CF2E14"/>
    <w:rsid w:val="00D105E0"/>
    <w:rsid w:val="00D1628D"/>
    <w:rsid w:val="00D22A4A"/>
    <w:rsid w:val="00D240E2"/>
    <w:rsid w:val="00D81E16"/>
    <w:rsid w:val="00DB09C8"/>
    <w:rsid w:val="00E33C68"/>
    <w:rsid w:val="00E9772F"/>
    <w:rsid w:val="00F07933"/>
    <w:rsid w:val="00F35A9C"/>
    <w:rsid w:val="00FB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7F2A921C"/>
  <w15:chartTrackingRefBased/>
  <w15:docId w15:val="{0FFB0E48-C994-4BA0-8668-2A54BB03B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15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7933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07933"/>
  </w:style>
  <w:style w:type="paragraph" w:styleId="Footer">
    <w:name w:val="footer"/>
    <w:basedOn w:val="Normal"/>
    <w:link w:val="FooterChar"/>
    <w:uiPriority w:val="99"/>
    <w:unhideWhenUsed/>
    <w:rsid w:val="00F07933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07933"/>
  </w:style>
  <w:style w:type="paragraph" w:customStyle="1" w:styleId="H1">
    <w:name w:val="H1"/>
    <w:basedOn w:val="Normal"/>
    <w:link w:val="H1Char"/>
    <w:qFormat/>
    <w:rsid w:val="004106B0"/>
    <w:pPr>
      <w:spacing w:after="160" w:line="259" w:lineRule="auto"/>
      <w:ind w:left="2160"/>
    </w:pPr>
    <w:rPr>
      <w:rFonts w:ascii="Arial" w:hAnsi="Arial" w:cs="Arial"/>
      <w:sz w:val="40"/>
      <w:szCs w:val="40"/>
      <w:lang w:val="en-US"/>
    </w:rPr>
  </w:style>
  <w:style w:type="paragraph" w:customStyle="1" w:styleId="H2">
    <w:name w:val="H2"/>
    <w:basedOn w:val="Normal"/>
    <w:link w:val="H2Char"/>
    <w:qFormat/>
    <w:rsid w:val="004106B0"/>
    <w:pPr>
      <w:spacing w:after="160" w:line="259" w:lineRule="auto"/>
    </w:pPr>
    <w:rPr>
      <w:rFonts w:ascii="Arial" w:hAnsi="Arial" w:cs="Arial"/>
      <w:sz w:val="28"/>
      <w:szCs w:val="28"/>
      <w:lang w:val="en-US"/>
    </w:rPr>
  </w:style>
  <w:style w:type="character" w:customStyle="1" w:styleId="H1Char">
    <w:name w:val="H1 Char"/>
    <w:basedOn w:val="DefaultParagraphFont"/>
    <w:link w:val="H1"/>
    <w:rsid w:val="004106B0"/>
    <w:rPr>
      <w:rFonts w:ascii="Arial" w:hAnsi="Arial" w:cs="Arial"/>
      <w:sz w:val="40"/>
      <w:szCs w:val="40"/>
      <w:lang w:val="en-US"/>
    </w:rPr>
  </w:style>
  <w:style w:type="character" w:customStyle="1" w:styleId="H2Char">
    <w:name w:val="H2 Char"/>
    <w:basedOn w:val="DefaultParagraphFont"/>
    <w:link w:val="H2"/>
    <w:rsid w:val="004106B0"/>
    <w:rPr>
      <w:rFonts w:ascii="Arial" w:hAnsi="Arial" w:cs="Arial"/>
      <w:sz w:val="28"/>
      <w:szCs w:val="28"/>
      <w:lang w:val="en-US"/>
    </w:rPr>
  </w:style>
  <w:style w:type="paragraph" w:customStyle="1" w:styleId="BodyCopy">
    <w:name w:val="Body Copy"/>
    <w:basedOn w:val="Normal"/>
    <w:link w:val="BodyCopyChar"/>
    <w:qFormat/>
    <w:rsid w:val="00292ADB"/>
    <w:pPr>
      <w:spacing w:after="160" w:line="259" w:lineRule="auto"/>
    </w:pPr>
    <w:rPr>
      <w:rFonts w:ascii="Arial" w:hAnsi="Arial" w:cs="Arial"/>
      <w:lang w:val="en" w:eastAsia="en-AU"/>
    </w:rPr>
  </w:style>
  <w:style w:type="character" w:customStyle="1" w:styleId="BodyCopyChar">
    <w:name w:val="Body Copy Char"/>
    <w:basedOn w:val="DefaultParagraphFont"/>
    <w:link w:val="BodyCopy"/>
    <w:rsid w:val="00292ADB"/>
    <w:rPr>
      <w:rFonts w:ascii="Arial" w:hAnsi="Arial" w:cs="Arial"/>
      <w:lang w:val="en" w:eastAsia="en-AU"/>
    </w:rPr>
  </w:style>
  <w:style w:type="paragraph" w:styleId="ListParagraph">
    <w:name w:val="List Paragraph"/>
    <w:basedOn w:val="Normal"/>
    <w:uiPriority w:val="34"/>
    <w:qFormat/>
    <w:rsid w:val="00D22A4A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Default">
    <w:name w:val="Default"/>
    <w:rsid w:val="007B6D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8147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1E1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3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3B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E33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33B4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33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33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33B4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29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6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life.org.au/" TargetMode="External"/><Relationship Id="rId13" Type="http://schemas.openxmlformats.org/officeDocument/2006/relationships/hyperlink" Target="https://www.facs.nsw.gov.au/families/out-of-home-care/children-in-oohc/planning-for-your-future-and-support-after-care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s://www.twenty10.org.au/" TargetMode="External"/><Relationship Id="rId12" Type="http://schemas.openxmlformats.org/officeDocument/2006/relationships/hyperlink" Target="https://www.courses.com.au/government-funding/smart-and-skilled?gclid=EAIaIQobChMI_uektPqu8AIVlQ4rCh1YKQHPEAAYAiAAEgKF-vD_BwE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facs.nsw.gov.au/__data/assets/pdf_file/0006/319362/Your-Next-Step.pdf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dknowyourself.com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careleaversline@facs.nsw.gov.a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boystothebush.org.au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ladder.org.au/ladder-step-up-sydney" TargetMode="External"/><Relationship Id="rId14" Type="http://schemas.openxmlformats.org/officeDocument/2006/relationships/hyperlink" Target="https://www.facs.nsw.gov.au/providers/children-families/leaving-care-planning/resources-for-caseworkers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Family &amp; Community Services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Eva Wheatley</cp:lastModifiedBy>
  <cp:revision>2</cp:revision>
  <cp:lastPrinted>2021-05-04T03:33:00Z</cp:lastPrinted>
  <dcterms:created xsi:type="dcterms:W3CDTF">2021-05-06T22:52:00Z</dcterms:created>
  <dcterms:modified xsi:type="dcterms:W3CDTF">2021-05-06T22:52:00Z</dcterms:modified>
</cp:coreProperties>
</file>